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843"/>
        <w:gridCol w:w="1843"/>
      </w:tblGrid>
      <w:tr w:rsidR="00286D0D" w:rsidRPr="00AB4389" w:rsidTr="004055A5">
        <w:trPr>
          <w:trHeight w:val="361"/>
        </w:trPr>
        <w:tc>
          <w:tcPr>
            <w:tcW w:w="3085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E3E97E1" wp14:editId="1255525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4055A5">
        <w:trPr>
          <w:trHeight w:val="361"/>
        </w:trPr>
        <w:tc>
          <w:tcPr>
            <w:tcW w:w="3085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4055A5">
        <w:trPr>
          <w:trHeight w:val="663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567E6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</w:t>
            </w:r>
            <w:r w:rsidR="00286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ÖDEMESİ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4055A5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 w:colFirst="1" w:colLast="1"/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286D0D" w:rsidP="0010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personelinin </w:t>
            </w:r>
            <w:r w:rsidR="001E6E93">
              <w:rPr>
                <w:rFonts w:ascii="Times New Roman" w:hAnsi="Times New Roman" w:cs="Times New Roman"/>
                <w:sz w:val="24"/>
                <w:szCs w:val="24"/>
              </w:rPr>
              <w:t xml:space="preserve">Sürekli veya Geçici Yolluk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ödemesi aşamasıdır.</w:t>
            </w:r>
          </w:p>
        </w:tc>
      </w:tr>
      <w:tr w:rsidR="00286D0D" w:rsidRPr="00AB4389" w:rsidTr="004055A5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13694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Harcama birim amirinin </w:t>
            </w:r>
            <w:r w:rsidR="002650A5">
              <w:rPr>
                <w:rFonts w:ascii="Times New Roman" w:hAnsi="Times New Roman" w:cs="Times New Roman"/>
                <w:sz w:val="24"/>
                <w:szCs w:val="24"/>
              </w:rPr>
              <w:t>ilgili personele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Sürekli veya geçici görevlendirme ve ödeme oluru vermesi.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4055A5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384727" w:rsidP="0010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Geçici veya sürekli görevlendirme yapılan ilgili personelin görev sonrası </w:t>
            </w:r>
            <w:r w:rsidR="00FD53C2">
              <w:rPr>
                <w:rFonts w:ascii="Times New Roman" w:hAnsi="Times New Roman" w:cs="Times New Roman"/>
                <w:sz w:val="24"/>
                <w:szCs w:val="24"/>
              </w:rPr>
              <w:t xml:space="preserve">kanunda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belirtilen eki belgeleri ve yol bildirimini ibraz etmesi, ilgili harcama biriminin harcama talimatı ve bildirim formuna istinaden hazırladıkları </w:t>
            </w:r>
            <w:r w:rsidR="00087906">
              <w:rPr>
                <w:rFonts w:ascii="Times New Roman" w:hAnsi="Times New Roman" w:cs="Times New Roman"/>
                <w:sz w:val="24"/>
                <w:szCs w:val="24"/>
              </w:rPr>
              <w:t xml:space="preserve">Ödeme Emri Belgesini </w:t>
            </w:r>
            <w:r w:rsidR="00BF5A77">
              <w:rPr>
                <w:rFonts w:ascii="Times New Roman" w:hAnsi="Times New Roman" w:cs="Times New Roman"/>
                <w:sz w:val="24"/>
                <w:szCs w:val="24"/>
              </w:rPr>
              <w:t xml:space="preserve">mali ve idari yönden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kontr</w:t>
            </w:r>
            <w:r w:rsidR="00FD53C2">
              <w:rPr>
                <w:rFonts w:ascii="Times New Roman" w:hAnsi="Times New Roman" w:cs="Times New Roman"/>
                <w:sz w:val="24"/>
                <w:szCs w:val="24"/>
              </w:rPr>
              <w:t>ol ederek ödemenin gerçekleş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mesini sağlamak. </w:t>
            </w:r>
          </w:p>
        </w:tc>
      </w:tr>
      <w:tr w:rsidR="00286D0D" w:rsidRPr="00AB4389" w:rsidTr="004055A5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BF5A77" w:rsidP="002B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Görevlendirme onayı, görev süresi </w:t>
            </w:r>
            <w:r w:rsidR="002B5443">
              <w:rPr>
                <w:rFonts w:ascii="Times New Roman" w:hAnsi="Times New Roman" w:cs="Times New Roman"/>
                <w:sz w:val="24"/>
                <w:szCs w:val="24"/>
              </w:rPr>
              <w:t>hatalı olması veya Ödeme Emri Belgesinde hata yapılması.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4055A5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2B5443" w:rsidP="0010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Kontroller sonunda fark edilen herhangi bir hataya rastlanması durumunda ilgili harcama birimine hata tespit tutanağı düzenlenerek iade edilmesi ve gerekli düzeltmenin yapılmasını sağlamak.</w:t>
            </w:r>
          </w:p>
        </w:tc>
      </w:tr>
      <w:tr w:rsidR="00286D0D" w:rsidRPr="00AB4389" w:rsidTr="004055A5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5919AB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4055A5">
        <w:trPr>
          <w:trHeight w:val="364"/>
        </w:trPr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4055A5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106AA3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A3">
              <w:rPr>
                <w:rFonts w:ascii="Times New Roman" w:hAnsi="Times New Roman" w:cs="Times New Roman"/>
                <w:sz w:val="24"/>
                <w:szCs w:val="24"/>
              </w:rPr>
              <w:t>5018 Sayılı Kamu Mali Yönetim Ve Kontrol Kanunu</w:t>
            </w:r>
          </w:p>
          <w:p w:rsidR="00286D0D" w:rsidRPr="00106AA3" w:rsidRDefault="00FC14A3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A3">
              <w:rPr>
                <w:rFonts w:ascii="Times New Roman" w:hAnsi="Times New Roman" w:cs="Times New Roman"/>
                <w:sz w:val="24"/>
                <w:szCs w:val="24"/>
              </w:rPr>
              <w:t>6245 Sayılı Harcırah</w:t>
            </w:r>
            <w:r w:rsidR="00286D0D" w:rsidRPr="00106AA3">
              <w:rPr>
                <w:rFonts w:ascii="Times New Roman" w:hAnsi="Times New Roman" w:cs="Times New Roman"/>
                <w:sz w:val="24"/>
                <w:szCs w:val="24"/>
              </w:rPr>
              <w:t xml:space="preserve"> Kanunu</w:t>
            </w:r>
          </w:p>
          <w:p w:rsidR="00286D0D" w:rsidRPr="00106AA3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A3">
              <w:rPr>
                <w:rFonts w:ascii="Times New Roman" w:hAnsi="Times New Roman" w:cs="Times New Roman"/>
                <w:sz w:val="24"/>
                <w:szCs w:val="24"/>
              </w:rPr>
              <w:t>2547 Sayılı YÖK Kanunu</w:t>
            </w:r>
          </w:p>
          <w:p w:rsidR="00AB03A2" w:rsidRPr="00106AA3" w:rsidRDefault="00AB03A2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A3">
              <w:rPr>
                <w:rFonts w:ascii="Times New Roman" w:hAnsi="Times New Roman" w:cs="Times New Roman"/>
                <w:sz w:val="24"/>
                <w:szCs w:val="24"/>
              </w:rPr>
              <w:t>Harcama Belgeleri Yönetmeliği</w:t>
            </w:r>
          </w:p>
          <w:p w:rsidR="00286D0D" w:rsidRPr="00106AA3" w:rsidRDefault="00AB03A2" w:rsidP="00AB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A3">
              <w:rPr>
                <w:rFonts w:ascii="Times New Roman" w:hAnsi="Times New Roman" w:cs="Times New Roman"/>
                <w:sz w:val="24"/>
                <w:szCs w:val="24"/>
              </w:rPr>
              <w:t>Yurtdışı Gündeliklerine Dair Bakanlar Kurulu Kararı</w:t>
            </w:r>
          </w:p>
        </w:tc>
      </w:tr>
      <w:tr w:rsidR="00286D0D" w:rsidRPr="00AB4389" w:rsidTr="004055A5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291AB6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Personel-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İlgili Harcama Birimi</w:t>
            </w:r>
          </w:p>
        </w:tc>
      </w:tr>
      <w:tr w:rsidR="00286D0D" w:rsidRPr="00AB4389" w:rsidTr="004055A5">
        <w:tc>
          <w:tcPr>
            <w:tcW w:w="3085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 </w:t>
            </w:r>
          </w:p>
        </w:tc>
      </w:tr>
      <w:bookmarkEnd w:id="0"/>
      <w:tr w:rsidR="00137E88" w:rsidRPr="00AB4389" w:rsidTr="004370EB">
        <w:tc>
          <w:tcPr>
            <w:tcW w:w="3085" w:type="dxa"/>
            <w:shd w:val="clear" w:color="auto" w:fill="FFFFFF" w:themeFill="background1"/>
            <w:vAlign w:val="center"/>
          </w:tcPr>
          <w:p w:rsidR="00137E88" w:rsidRPr="00AB4389" w:rsidRDefault="00137E88" w:rsidP="004370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137E88" w:rsidRDefault="00137E88" w:rsidP="001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</w:t>
            </w:r>
          </w:p>
          <w:p w:rsidR="00137E88" w:rsidRDefault="00137E88" w:rsidP="001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Cavide Ilgaz BALIKÇI</w:t>
            </w:r>
          </w:p>
          <w:p w:rsidR="00137E88" w:rsidRPr="00AB4389" w:rsidRDefault="00137E88" w:rsidP="0013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KORMAZ</w:t>
            </w:r>
          </w:p>
        </w:tc>
      </w:tr>
      <w:tr w:rsidR="00137E88" w:rsidRPr="00AB4389" w:rsidTr="00137E88">
        <w:trPr>
          <w:trHeight w:val="430"/>
        </w:trPr>
        <w:tc>
          <w:tcPr>
            <w:tcW w:w="3085" w:type="dxa"/>
            <w:shd w:val="clear" w:color="auto" w:fill="FFFFFF" w:themeFill="background1"/>
            <w:vAlign w:val="center"/>
          </w:tcPr>
          <w:p w:rsidR="00137E88" w:rsidRPr="00AB4389" w:rsidRDefault="00137E88" w:rsidP="004370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:rsidR="00137E88" w:rsidRPr="00AB4389" w:rsidRDefault="00137E88" w:rsidP="0043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1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81" w:rsidRDefault="00693A81" w:rsidP="00956C56">
      <w:pPr>
        <w:spacing w:after="0" w:line="240" w:lineRule="auto"/>
      </w:pPr>
      <w:r>
        <w:separator/>
      </w:r>
    </w:p>
  </w:endnote>
  <w:endnote w:type="continuationSeparator" w:id="0">
    <w:p w:rsidR="00693A81" w:rsidRDefault="00693A81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81" w:rsidRDefault="00693A81" w:rsidP="00956C56">
      <w:pPr>
        <w:spacing w:after="0" w:line="240" w:lineRule="auto"/>
      </w:pPr>
      <w:r>
        <w:separator/>
      </w:r>
    </w:p>
  </w:footnote>
  <w:footnote w:type="continuationSeparator" w:id="0">
    <w:p w:rsidR="00693A81" w:rsidRDefault="00693A81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35B2"/>
    <w:rsid w:val="00082135"/>
    <w:rsid w:val="00082DCC"/>
    <w:rsid w:val="00087906"/>
    <w:rsid w:val="00091F29"/>
    <w:rsid w:val="000A62DC"/>
    <w:rsid w:val="000E09DE"/>
    <w:rsid w:val="000F572C"/>
    <w:rsid w:val="00104954"/>
    <w:rsid w:val="00106AA3"/>
    <w:rsid w:val="00121297"/>
    <w:rsid w:val="00136944"/>
    <w:rsid w:val="00137E88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4FA2"/>
    <w:rsid w:val="00197390"/>
    <w:rsid w:val="001B2F21"/>
    <w:rsid w:val="001C6C66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96355"/>
    <w:rsid w:val="004C1E55"/>
    <w:rsid w:val="004C1ED3"/>
    <w:rsid w:val="004F3248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3A81"/>
    <w:rsid w:val="00696B29"/>
    <w:rsid w:val="006A1A90"/>
    <w:rsid w:val="006B0B80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854E1"/>
    <w:rsid w:val="00992A84"/>
    <w:rsid w:val="009A0DA0"/>
    <w:rsid w:val="009A3149"/>
    <w:rsid w:val="009A53C1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4380"/>
  <w15:docId w15:val="{6635A1DE-064F-47B6-B796-156D7765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75</cp:revision>
  <dcterms:created xsi:type="dcterms:W3CDTF">2017-06-30T11:14:00Z</dcterms:created>
  <dcterms:modified xsi:type="dcterms:W3CDTF">2022-03-28T08:36:00Z</dcterms:modified>
</cp:coreProperties>
</file>